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/>
        <w:jc w:val="center"/>
      </w:pPr>
      <w:r>
        <w:drawing>
          <wp:inline xmlns:a="http://schemas.openxmlformats.org/drawingml/2006/main" xmlns:pic="http://schemas.openxmlformats.org/drawingml/2006/picture">
            <wp:extent cx="1097280" cy="875311"/>
            <wp:docPr id="1" name="Picture 1" descr="Tailtiu Languages and Travel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iltiu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8753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60"/>
        <w:jc w:val="center"/>
      </w:pPr>
      <w:r>
        <w:rPr>
          <w:rFonts w:ascii="Calibri" w:hAnsi="Calibri"/>
          <w:b/>
          <w:color w:val="E57A22"/>
          <w:sz w:val="19"/>
        </w:rPr>
        <w:t>25-MINUTE TEACHER DEVELOPMENT SEMINAR</w:t>
      </w:r>
    </w:p>
    <w:p>
      <w:pPr>
        <w:spacing w:before="0" w:after="100" w:line="240" w:lineRule="auto"/>
        <w:jc w:val="center"/>
      </w:pPr>
      <w:r>
        <w:rPr>
          <w:rFonts w:ascii="Calibri" w:hAnsi="Calibri"/>
          <w:b/>
          <w:color w:val="2F6B45"/>
          <w:sz w:val="50"/>
        </w:rPr>
        <w:t>Beyond the Coursebook</w:t>
      </w:r>
    </w:p>
    <w:p>
      <w:pPr>
        <w:spacing w:before="0" w:after="280" w:line="240" w:lineRule="auto"/>
        <w:jc w:val="center"/>
      </w:pPr>
      <w:r>
        <w:rPr>
          <w:rFonts w:ascii="Calibri" w:hAnsi="Calibri"/>
          <w:b/>
          <w:color w:val="234D35"/>
          <w:sz w:val="26"/>
        </w:rPr>
        <w:t>Participant Handout: The REAL Loop for AI-Assisted Authentic Materials</w:t>
      </w:r>
    </w:p>
    <w:p>
      <w:pPr>
        <w:spacing w:before="0" w:after="200" w:line="283" w:lineRule="auto"/>
        <w:ind w:left="173" w:right="173"/>
        <w:shd w:fill="EAF3ED"/>
        <w:pBdr>
          <w:left w:val="single" w:sz="18" w:space="8" w:color="E57A22"/>
        </w:pBdr>
      </w:pPr>
      <w:r>
        <w:rPr>
          <w:rFonts w:ascii="Calibri" w:hAnsi="Calibri"/>
          <w:color w:val="26332B"/>
          <w:sz w:val="21"/>
        </w:rPr>
        <w:t>Use one relevant real-world source, build one purposeful learner response, and use AI as a planning colleague whose suggestions still require teacher judgement.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EAF3ED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E57A22"/>
                <w:sz w:val="15"/>
              </w:rPr>
              <w:t>SOURCE</w:t>
              <w:br/>
            </w:r>
            <w:r>
              <w:rPr>
                <w:rFonts w:ascii="Calibri" w:hAnsi="Calibri"/>
                <w:b/>
                <w:color w:val="234D35"/>
                <w:sz w:val="19"/>
              </w:rPr>
              <w:t>Real-world input</w:t>
            </w:r>
          </w:p>
        </w:tc>
        <w:tc>
          <w:tcPr>
            <w:tcW w:type="dxa" w:w="312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FFF1E6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E57A22"/>
                <w:sz w:val="15"/>
              </w:rPr>
              <w:t>PURPOSE</w:t>
              <w:br/>
            </w:r>
            <w:r>
              <w:rPr>
                <w:rFonts w:ascii="Calibri" w:hAnsi="Calibri"/>
                <w:b/>
                <w:color w:val="234D35"/>
                <w:sz w:val="19"/>
              </w:rPr>
              <w:t>A genuine response</w:t>
            </w:r>
          </w:p>
        </w:tc>
        <w:tc>
          <w:tcPr>
            <w:tcW w:type="dxa" w:w="312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EAF3ED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E57A22"/>
                <w:sz w:val="15"/>
              </w:rPr>
              <w:t>PROCESS</w:t>
              <w:br/>
            </w:r>
            <w:r>
              <w:rPr>
                <w:rFonts w:ascii="Calibri" w:hAnsi="Calibri"/>
                <w:b/>
                <w:color w:val="234D35"/>
                <w:sz w:val="19"/>
              </w:rPr>
              <w:t>The REAL loop</w:t>
            </w:r>
          </w:p>
        </w:tc>
      </w:tr>
    </w:tbl>
    <w:p>
      <w:pPr>
        <w:spacing w:after="0"/>
      </w:pPr>
    </w:p>
    <w:p>
      <w:pPr>
        <w:spacing w:before="80" w:after="200" w:line="288" w:lineRule="auto"/>
        <w:ind w:left="173" w:right="115"/>
        <w:shd w:fill="FFF1E6"/>
        <w:pBdr>
          <w:left w:val="single" w:sz="18" w:space="8" w:color="E57A22"/>
        </w:pBdr>
      </w:pPr>
      <w:r>
        <w:rPr>
          <w:rFonts w:ascii="Calibri" w:hAnsi="Calibri"/>
          <w:b/>
          <w:color w:val="E57A22"/>
          <w:sz w:val="21"/>
        </w:rPr>
        <w:t xml:space="preserve">Takeaway: </w:t>
      </w:r>
      <w:r>
        <w:rPr>
          <w:rFonts w:ascii="Calibri" w:hAnsi="Calibri"/>
          <w:b/>
          <w:color w:val="26332B"/>
          <w:sz w:val="21"/>
        </w:rPr>
        <w:t>AI drafts. The teacher decides.</w:t>
      </w:r>
    </w:p>
    <w:p>
      <w:pPr>
        <w:pStyle w:val="Heading1"/>
      </w:pPr>
      <w:r>
        <w:t>The practical principle</w:t>
      </w:r>
    </w:p>
    <w:p>
      <w:r>
        <w:t>Authenticity is not carried by the source alone. A real-world article or video can still produce an artificial lesson if the task removes its audience, purpose and reason for use. Keep the source where possible; grade the task and the support.</w:t>
      </w:r>
    </w:p>
    <w:p>
      <w:pPr>
        <w:numPr>
          <w:ilvl w:val="0"/>
          <w:numId w:val="10"/>
        </w:numPr>
        <w:spacing w:after="80" w:line="288" w:lineRule="auto"/>
      </w:pPr>
      <w:r>
        <w:rPr>
          <w:rFonts w:ascii="Calibri" w:hAnsi="Calibri"/>
          <w:color w:val="26332B"/>
          <w:sz w:val="21"/>
        </w:rPr>
        <w:t>Choose relevance before language exploitation: why this source, for these learners, now?</w:t>
      </w:r>
    </w:p>
    <w:p>
      <w:pPr>
        <w:numPr>
          <w:ilvl w:val="0"/>
          <w:numId w:val="10"/>
        </w:numPr>
        <w:spacing w:after="80" w:line="288" w:lineRule="auto"/>
      </w:pPr>
      <w:r>
        <w:rPr>
          <w:rFonts w:ascii="Calibri" w:hAnsi="Calibri"/>
          <w:color w:val="26332B"/>
          <w:sz w:val="21"/>
        </w:rPr>
        <w:t>Use a short, manageable section rather than automatically rewriting the original.</w:t>
      </w:r>
    </w:p>
    <w:p>
      <w:pPr>
        <w:numPr>
          <w:ilvl w:val="0"/>
          <w:numId w:val="10"/>
        </w:numPr>
        <w:spacing w:after="80" w:line="288" w:lineRule="auto"/>
      </w:pPr>
      <w:r>
        <w:rPr>
          <w:rFonts w:ascii="Calibri" w:hAnsi="Calibri"/>
          <w:color w:val="26332B"/>
          <w:sz w:val="21"/>
        </w:rPr>
        <w:t>Move from gist to useful language and then to a response people might genuinely make.</w:t>
      </w:r>
    </w:p>
    <w:p>
      <w:pPr>
        <w:numPr>
          <w:ilvl w:val="0"/>
          <w:numId w:val="10"/>
        </w:numPr>
        <w:spacing w:after="80" w:line="288" w:lineRule="auto"/>
      </w:pPr>
      <w:r>
        <w:rPr>
          <w:rFonts w:ascii="Calibri" w:hAnsi="Calibri"/>
          <w:color w:val="26332B"/>
          <w:sz w:val="21"/>
        </w:rPr>
        <w:t>Use AI to generate options, not to replace source checking or professional judgement.</w:t>
      </w:r>
    </w:p>
    <w:p>
      <w:pPr>
        <w:spacing w:before="80" w:after="200" w:line="288" w:lineRule="auto"/>
        <w:ind w:left="173" w:right="115"/>
        <w:shd w:fill="F4F6F4"/>
        <w:pBdr>
          <w:left w:val="single" w:sz="18" w:space="8" w:color="E57A22"/>
        </w:pBdr>
      </w:pPr>
      <w:r>
        <w:rPr>
          <w:rFonts w:ascii="Calibri" w:hAnsi="Calibri"/>
          <w:b/>
          <w:color w:val="E57A22"/>
          <w:sz w:val="21"/>
        </w:rPr>
        <w:t xml:space="preserve">Evidence note: </w:t>
      </w:r>
      <w:r>
        <w:rPr>
          <w:rFonts w:ascii="Calibri" w:hAnsi="Calibri"/>
          <w:b/>
          <w:color w:val="26332B"/>
          <w:sz w:val="21"/>
        </w:rPr>
        <w:t>In Quinn's small, context-specific IRP questionnaire (n=16), all 16 participating teachers selected connection to the course or group and all 16 selected breaking coursebook monotony as reasons for using authentic material. This reports teacher choices and perceptions; it does not establish a causal effect on learner motivation.</w:t>
      </w:r>
    </w:p>
    <w:p>
      <w:r>
        <w:br w:type="page"/>
      </w:r>
    </w:p>
    <w:p>
      <w:pPr>
        <w:pStyle w:val="Heading1"/>
        <w:spacing w:before="0"/>
      </w:pPr>
      <w:r>
        <w:t>The REAL loop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820"/>
        <w:gridCol w:w="1580"/>
        <w:gridCol w:w="2900"/>
        <w:gridCol w:w="4060"/>
      </w:tblGrid>
      <w:tr>
        <w:trPr>
          <w:tblHeader w:val="true"/>
        </w:trPr>
        <w:tc>
          <w:tcPr>
            <w:tcW w:type="dxa" w:w="8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F6B45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Stage</w:t>
            </w:r>
          </w:p>
        </w:tc>
        <w:tc>
          <w:tcPr>
            <w:tcW w:type="dxa" w:w="158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F6B45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Teacher decision</w:t>
            </w:r>
          </w:p>
        </w:tc>
        <w:tc>
          <w:tcPr>
            <w:tcW w:type="dxa" w:w="29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F6B45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Useful question</w:t>
            </w:r>
          </w:p>
        </w:tc>
        <w:tc>
          <w:tcPr>
            <w:tcW w:type="dxa" w:w="406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F6B45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Possible AI contribution</w:t>
            </w:r>
          </w:p>
        </w:tc>
      </w:tr>
      <w:tr>
        <w:tc>
          <w:tcPr>
            <w:tcW w:type="dxa" w:w="8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2F6B45"/>
                <w:sz w:val="17"/>
              </w:rPr>
              <w:t>R</w:t>
            </w:r>
          </w:p>
        </w:tc>
        <w:tc>
          <w:tcPr>
            <w:tcW w:type="dxa" w:w="158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Relevance</w:t>
            </w:r>
          </w:p>
        </w:tc>
        <w:tc>
          <w:tcPr>
            <w:tcW w:type="dxa" w:w="29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Why this source, for these learners, now?</w:t>
            </w:r>
          </w:p>
        </w:tc>
        <w:tc>
          <w:tcPr>
            <w:tcW w:type="dxa" w:w="406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Suggest possible connections - then let the teacher confirm them.</w:t>
            </w:r>
          </w:p>
        </w:tc>
      </w:tr>
      <w:tr>
        <w:tc>
          <w:tcPr>
            <w:tcW w:type="dxa" w:w="8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2F6B45"/>
                <w:sz w:val="17"/>
              </w:rPr>
              <w:t>E</w:t>
            </w:r>
          </w:p>
        </w:tc>
        <w:tc>
          <w:tcPr>
            <w:tcW w:type="dxa" w:w="158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6F4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Evaluate</w:t>
            </w:r>
          </w:p>
        </w:tc>
        <w:tc>
          <w:tcPr>
            <w:tcW w:type="dxa" w:w="29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6F4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What is usable, difficult, useful or risky?</w:t>
            </w:r>
          </w:p>
        </w:tc>
        <w:tc>
          <w:tcPr>
            <w:tcW w:type="dxa" w:w="406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6F4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Surface barriers, language options, outcomes and uncertainties.</w:t>
            </w:r>
          </w:p>
        </w:tc>
      </w:tr>
      <w:tr>
        <w:tc>
          <w:tcPr>
            <w:tcW w:type="dxa" w:w="8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2F6B45"/>
                <w:sz w:val="17"/>
              </w:rPr>
              <w:t>A</w:t>
            </w:r>
          </w:p>
        </w:tc>
        <w:tc>
          <w:tcPr>
            <w:tcW w:type="dxa" w:w="158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Adapt</w:t>
            </w:r>
          </w:p>
        </w:tc>
        <w:tc>
          <w:tcPr>
            <w:tcW w:type="dxa" w:w="29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How can the task and support make the source usable?</w:t>
            </w:r>
          </w:p>
        </w:tc>
        <w:tc>
          <w:tcPr>
            <w:tcW w:type="dxa" w:w="406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Draft gist, noticing and purposeful-response options.</w:t>
            </w:r>
          </w:p>
        </w:tc>
      </w:tr>
      <w:tr>
        <w:tc>
          <w:tcPr>
            <w:tcW w:type="dxa" w:w="8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2F6B45"/>
                <w:sz w:val="17"/>
              </w:rPr>
              <w:t>L</w:t>
            </w:r>
          </w:p>
        </w:tc>
        <w:tc>
          <w:tcPr>
            <w:tcW w:type="dxa" w:w="158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6F4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Look again</w:t>
            </w:r>
          </w:p>
        </w:tc>
        <w:tc>
          <w:tcPr>
            <w:tcW w:type="dxa" w:w="29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6F4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Is it accurate, appropriate, manageable and worth the time?</w:t>
            </w:r>
          </w:p>
        </w:tc>
        <w:tc>
          <w:tcPr>
            <w:tcW w:type="dxa" w:w="406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4F6F4"/>
          </w:tcPr>
          <w:p>
            <w:pPr>
              <w:spacing w:before="0" w:after="0"/>
              <w:jc w:val="left"/>
            </w:pPr>
            <w:r>
              <w:rPr>
                <w:rFonts w:ascii="Calibri" w:hAnsi="Calibri"/>
                <w:b w:val="0"/>
                <w:color w:val="26332B"/>
                <w:sz w:val="17"/>
              </w:rPr>
              <w:t>Audit answers and assumptions as a second reader - not final authority.</w:t>
            </w:r>
          </w:p>
        </w:tc>
      </w:tr>
    </w:tbl>
    <w:p>
      <w:pPr>
        <w:spacing w:after="0"/>
      </w:pPr>
    </w:p>
    <w:p>
      <w:pPr>
        <w:spacing w:before="80" w:after="200" w:line="288" w:lineRule="auto"/>
        <w:ind w:left="173" w:right="115"/>
        <w:shd w:fill="EAF3ED"/>
        <w:pBdr>
          <w:left w:val="single" w:sz="18" w:space="8" w:color="E57A22"/>
        </w:pBdr>
      </w:pPr>
      <w:r>
        <w:rPr>
          <w:rFonts w:ascii="Calibri" w:hAnsi="Calibri"/>
          <w:b/>
          <w:color w:val="E57A22"/>
          <w:sz w:val="21"/>
        </w:rPr>
        <w:t xml:space="preserve">Two habits: </w:t>
      </w:r>
      <w:r>
        <w:rPr>
          <w:rFonts w:ascii="Calibri" w:hAnsi="Calibri"/>
          <w:b/>
          <w:color w:val="26332B"/>
          <w:sz w:val="21"/>
        </w:rPr>
        <w:t>Analyse first; design second. Keep the source; grade the task and support.</w:t>
      </w:r>
    </w:p>
    <w:p>
      <w:pPr>
        <w:pStyle w:val="Heading2"/>
      </w:pPr>
      <w:r>
        <w:t>A quick source test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520"/>
        <w:gridCol w:w="8840"/>
      </w:tblGrid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The source has an obvious real-world audience and purpose.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The selected section is manageable - for example, about 120-200 transcript words.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The topic is recognisable or relevant to the intended learners.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Two or three pieces of language are useful beyond this one source.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Learners can make a genuine decision, recommendation, comparison or other response.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The source and task can be used within institutional, access and copyright requirements.</w:t>
            </w:r>
          </w:p>
        </w:tc>
      </w:tr>
    </w:tbl>
    <w:p>
      <w:pPr>
        <w:spacing w:after="0"/>
      </w:pPr>
    </w:p>
    <w:p>
      <w:pPr>
        <w:pStyle w:val="Heading2"/>
      </w:pPr>
      <w:r>
        <w:t>What AI can and cannot do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2700"/>
        <w:gridCol w:w="6660"/>
      </w:tblGrid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2F6B45"/>
                <w:sz w:val="19"/>
              </w:rPr>
              <w:t>AI can help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Transcribe, scan, suggest, compare, draft, edit and double-check.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2F6B45"/>
                <w:sz w:val="19"/>
              </w:rPr>
              <w:t>AI cannot know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Your learners, local policy, classroom dynamics or whether an inference is supported unless you check.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2F6B45"/>
                <w:sz w:val="19"/>
              </w:rPr>
              <w:t>Teacher responsibility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Verify the source, answers, level, appropriacy, accessibility and classroom value.</w:t>
            </w:r>
          </w:p>
        </w:tc>
      </w:tr>
    </w:tbl>
    <w:p>
      <w:pPr>
        <w:spacing w:before="0" w:after="0"/>
      </w:pPr>
    </w:p>
    <w:p>
      <w:r>
        <w:br w:type="page"/>
      </w:r>
    </w:p>
    <w:p>
      <w:pPr>
        <w:pStyle w:val="Heading1"/>
        <w:spacing w:before="0"/>
      </w:pPr>
      <w:r>
        <w:t>Five-minute microdesign</w:t>
      </w:r>
    </w:p>
    <w:p>
      <w:pPr>
        <w:spacing w:after="160"/>
      </w:pPr>
      <w:r>
        <w:t>Create a compact activity, not a full lesson plan. Keep returning to the question: What will learners genuinely do with this source?</w:t>
      </w: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Learners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[Class, age, level and relevant needs]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Source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[Title, format and link or location]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R - Relevance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[Why this source? Why these learners? Why now?]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Purposeful outcome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[What genuine decision, recommendation, explanation, comparison or creation will learners make?]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Gist task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[One question that directs attention to the source's main purpose]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Notice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[Two or three transferable language items or one discourse feature]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Respond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[A brief real-world response using ideas or language from the source]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Support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[Visuals, repetition, selected glossary, pair work, supported choices or model]</w:t>
            </w:r>
          </w:p>
        </w:tc>
      </w:tr>
    </w:tbl>
    <w:p>
      <w:pPr>
        <w:spacing w:before="0" w:after="0"/>
      </w:pPr>
    </w:p>
    <w:p>
      <w:pPr>
        <w:pStyle w:val="Heading1"/>
        <w:spacing w:before="0"/>
      </w:pPr>
      <w:r>
        <w:t>Would I teach this tomorrow?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520"/>
        <w:gridCol w:w="8840"/>
      </w:tblGrid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Accurate: every answer is supported by the source.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Appropriate: the age, topic, register and sensitivity fit the group.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Purposeful: learners have a genuine reason to respond.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Accessible: support helps without removing all challenge.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Manageable: preparation, technology and instructions are realistic.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Worth it: the activity serves this group at this point in the course.</w:t>
            </w:r>
          </w:p>
        </w:tc>
      </w:tr>
    </w:tbl>
    <w:p>
      <w:pPr>
        <w:spacing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One essential change before teaching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[Revise one question, support choice, language item, outcome or instruction]</w:t>
            </w:r>
          </w:p>
          <w:p>
            <w:pPr>
              <w:spacing w:before="0" w:after="0"/>
            </w:pPr>
            <w:r>
              <w:t xml:space="preserve"> </w:t>
            </w:r>
          </w:p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spacing w:before="0" w:after="0"/>
      </w:pPr>
    </w:p>
    <w:p>
      <w:pPr>
        <w:pStyle w:val="Heading2"/>
      </w:pPr>
      <w:r>
        <w:t>Before you leave</w:t>
      </w: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One class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[Type here]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One interest or need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[Type here]</w:t>
            </w:r>
          </w:p>
        </w:tc>
      </w:tr>
    </w:tbl>
    <w:p>
      <w:pPr>
        <w:spacing w:before="0" w:after="0"/>
      </w:pPr>
    </w:p>
    <w:p>
      <w:pPr>
        <w:keepNext/>
        <w:spacing w:before="60" w:after="60"/>
      </w:pPr>
      <w:r>
        <w:rPr>
          <w:rFonts w:ascii="Calibri" w:hAnsi="Calibri"/>
          <w:b/>
          <w:color w:val="2F6B45"/>
          <w:sz w:val="20"/>
        </w:rPr>
        <w:t>One source to try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i/>
                <w:color w:val="647169"/>
                <w:sz w:val="19"/>
              </w:rPr>
              <w:t>[Type here]</w:t>
            </w:r>
          </w:p>
        </w:tc>
      </w:tr>
    </w:tbl>
    <w:p>
      <w:pPr>
        <w:spacing w:before="0" w:after="0"/>
      </w:pPr>
    </w:p>
    <w:p>
      <w:pPr>
        <w:pStyle w:val="Heading2"/>
      </w:pPr>
      <w:r>
        <w:t>Resources</w:t>
      </w:r>
    </w:p>
    <w:p>
      <w:pPr>
        <w:spacing w:after="80"/>
      </w:pPr>
      <w:r>
        <w:rPr>
          <w:rFonts w:ascii="Calibri" w:hAnsi="Calibri"/>
          <w:b/>
          <w:color w:val="2F6B45"/>
          <w:sz w:val="20"/>
        </w:rPr>
        <w:t xml:space="preserve">Teacher Development materials: </w:t>
      </w:r>
      <w:hyperlink r:id="rId12">
        <w:r>
          <w:rPr>
            <w:color w:val="2F6B45"/>
            <w:u w:val="single"/>
            <w:rFonts w:ascii="Calibri" w:hAnsi="Calibri"/>
          </w:rPr>
          <w:t>https://teacherdevelopment.tailtiu.org/</w:t>
        </w:r>
      </w:hyperlink>
    </w:p>
    <w:p>
      <w:pPr>
        <w:spacing w:after="80"/>
      </w:pPr>
      <w:r>
        <w:rPr>
          <w:rFonts w:ascii="Calibri" w:hAnsi="Calibri"/>
          <w:b/>
          <w:color w:val="2F6B45"/>
          <w:sz w:val="20"/>
        </w:rPr>
        <w:t xml:space="preserve">Learner resources: </w:t>
      </w:r>
      <w:hyperlink r:id="rId13">
        <w:r>
          <w:rPr>
            <w:color w:val="2F6B45"/>
            <w:u w:val="single"/>
            <w:rFonts w:ascii="Calibri" w:hAnsi="Calibri"/>
          </w:rPr>
          <w:t>https://learningenglish.tailtiu.org/</w:t>
        </w:r>
      </w:hyperlink>
    </w:p>
    <w:p>
      <w:pPr>
        <w:spacing w:after="80"/>
      </w:pPr>
      <w:r>
        <w:rPr>
          <w:rFonts w:ascii="Calibri" w:hAnsi="Calibri"/>
          <w:b/>
          <w:color w:val="2F6B45"/>
          <w:sz w:val="20"/>
        </w:rPr>
        <w:t xml:space="preserve">Tailtiu Languages and Travel: </w:t>
      </w:r>
      <w:hyperlink r:id="rId14">
        <w:r>
          <w:rPr>
            <w:color w:val="2F6B45"/>
            <w:u w:val="single"/>
            <w:rFonts w:ascii="Calibri" w:hAnsi="Calibri"/>
          </w:rPr>
          <w:t>https://tailtiu.org/</w:t>
        </w:r>
      </w:hyperlink>
    </w:p>
    <w:p>
      <w:pPr>
        <w:spacing w:before="80" w:after="80" w:line="240" w:lineRule="auto"/>
      </w:pPr>
      <w:r>
        <w:rPr>
          <w:rFonts w:ascii="Calibri" w:hAnsi="Calibri"/>
          <w:i/>
          <w:color w:val="647169"/>
          <w:sz w:val="16"/>
        </w:rPr>
        <w:t>Framework developed for this seminar from Martin Quinn's Trinity DipTESOL IRP and article draft, with reference to Guariento and Morley (2001), Buendgens-Kosten (2014) and Field (1998).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</w:pPr>
  </w:p>
  <w:tbl>
    <w:tblPr>
      <w:tblW w:type="dxa" w:w="9360"/>
      <w:tblLayout w:type="fixed"/>
      <w:tblLook w:firstColumn="1" w:firstRow="1" w:lastColumn="0" w:lastRow="0" w:noHBand="0" w:noVBand="1" w:val="04A0"/>
      <w:tblInd w:w="0" w:type="dxa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7200"/>
      <w:gridCol w:w="2160"/>
    </w:tblGrid>
    <w:tr>
      <w:tc>
        <w:tcPr>
          <w:tcW w:type="dxa" w:w="7200"/>
          <w:tcMar>
            <w:top w:w="0" w:type="dxa"/>
            <w:start w:w="0" w:type="dxa"/>
            <w:bottom w:w="0" w:type="dxa"/>
            <w:end w:w="0" w:type="dxa"/>
          </w:tcMar>
          <w:vAlign w:val="center"/>
        </w:tcPr>
        <w:p>
          <w:pPr>
            <w:spacing w:before="0" w:after="0"/>
          </w:pPr>
          <w:hyperlink r:id="rId1">
            <w:r>
              <w:rPr>
                <w:color w:val="2F6B45"/>
                <w:rFonts w:ascii="Calibri" w:hAnsi="Calibri"/>
              </w:rPr>
              <w:t>teacherdevelopment.tailtiu.org</w:t>
            </w:r>
          </w:hyperlink>
        </w:p>
      </w:tc>
      <w:tc>
        <w:tcPr>
          <w:tcW w:type="dxa" w:w="2160"/>
          <w:tcMar>
            <w:top w:w="0" w:type="dxa"/>
            <w:start w:w="0" w:type="dxa"/>
            <w:bottom w:w="0" w:type="dxa"/>
            <w:end w:w="0" w:type="dxa"/>
          </w:tcMar>
          <w:vAlign w:val="center"/>
        </w:tcPr>
        <w:p>
          <w:pPr>
            <w:spacing w:before="0" w:after="0"/>
            <w:jc w:val="right"/>
          </w:pPr>
          <w:r>
            <w:rPr>
              <w:rFonts w:ascii="Calibri" w:hAnsi="Calibri"/>
              <w:color w:val="647169"/>
              <w:sz w:val="17"/>
            </w:rPr>
            <w:t xml:space="preserve">Page </w:t>
          </w:r>
          <w:r>
            <w:rPr>
              <w:rFonts w:ascii="Calibri" w:hAnsi="Calibri"/>
              <w:color w:val="647169"/>
              <w:sz w:val="17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8784" w:val="right"/>
      </w:tabs>
      <w:spacing w:before="0" w:after="0"/>
    </w:pPr>
    <w:r>
      <w:rPr>
        <w:rFonts w:ascii="Calibri" w:hAnsi="Calibri"/>
        <w:b/>
        <w:color w:val="2F6B45"/>
        <w:sz w:val="17"/>
      </w:rPr>
      <w:t>TAILTIU TEACHER DEVELOPMENT</w:t>
    </w:r>
    <w:r>
      <w:tab/>
    </w:r>
    <w:r>
      <w:rPr>
        <w:rFonts w:ascii="Calibri" w:hAnsi="Calibri"/>
        <w:b/>
        <w:color w:val="E57A22"/>
        <w:sz w:val="17"/>
      </w:rPr>
      <w:t>PARTICIPANT HANDOUT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633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F6B4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F6B4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234D3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Text">
    <w:name w:val="Prompt Text"/>
    <w:pPr>
      <w:spacing w:before="0" w:after="80" w:line="278" w:lineRule="auto"/>
    </w:pPr>
    <w:rPr>
      <w:rFonts w:ascii="Calibri" w:hAnsi="Calibri"/>
      <w:color w:val="26332B"/>
      <w:sz w:val="20"/>
    </w:rPr>
  </w:style>
  <w:style w:type="paragraph" w:customStyle="1" w:styleId="Transcript">
    <w:name w:val="Transcript"/>
    <w:pPr>
      <w:spacing w:before="0" w:after="140" w:line="283" w:lineRule="auto"/>
    </w:pPr>
    <w:rPr>
      <w:rFonts w:ascii="Calibri" w:hAnsi="Calibri"/>
      <w:color w:val="26332B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teacherdevelopment.tailtiu.org/" TargetMode="External"/><Relationship Id="rId13" Type="http://schemas.openxmlformats.org/officeDocument/2006/relationships/hyperlink" Target="https://learningenglish.tailtiu.org/" TargetMode="External"/><Relationship Id="rId14" Type="http://schemas.openxmlformats.org/officeDocument/2006/relationships/hyperlink" Target="https://tailtiu.org/" TargetMode="Externa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eacherdevelopment.tailtiu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Beyond the Coursebook - Participant Handout</dc:title>
  <dc:subject>Seminar handout for the REAL loop and AI-assisted authentic materials</dc:subject>
  <dc:creator>Martin Quinn</dc:creator>
  <cp:keywords>teacher development, authentic materials, AI, EFL, REAL loop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